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pPr>
      <w:r>
        <w:rPr>
          <w:b/>
          <w:color w:val="1A3C5E"/>
          <w:sz w:val="32"/>
        </w:rPr>
        <w:t>INTERNAL AUDIT OBSERVATION — PAYROLL CONTROLS</w:t>
      </w:r>
    </w:p>
    <w:tbl>
      <w:tblPr>
        <w:tblStyle w:val="TableGrid"/>
        <w:tblW w:type="auto" w:w="0"/>
        <w:tblLook w:firstColumn="1" w:firstRow="1" w:lastColumn="0" w:lastRow="0" w:noHBand="0" w:noVBand="1" w:val="04A0"/>
      </w:tblPr>
      <w:tblGrid>
        <w:gridCol w:w="9072"/>
      </w:tblGrid>
      <w:tr>
        <w:tc>
          <w:tcPr>
            <w:tcW w:type="dxa" w:w="9072"/>
            <w:shd w:fill="EBF3FB" w:val="clear"/>
          </w:tcPr>
          <w:p>
            <w:r/>
            <w:r>
              <w:rPr>
                <w:i/>
                <w:color w:val="1A3C5E"/>
                <w:sz w:val="20"/>
              </w:rPr>
              <w:t>Audit: Payroll &amp; HR Compliance Review  |  Period: Q2 FY2025-26  |  Finding Ref: IA-2025-PAY-003</w:t>
            </w:r>
          </w:p>
        </w:tc>
      </w:tr>
    </w:tbl>
    <w:p>
      <w:pPr>
        <w:spacing w:before="200" w:after="80"/>
      </w:pPr>
      <w:r>
        <w:rPr>
          <w:b/>
          <w:color w:val="2B7CB8"/>
          <w:sz w:val="26"/>
        </w:rPr>
        <w:t>OBSERVATION</w:t>
      </w:r>
    </w:p>
    <w:p>
      <w:pPr>
        <w:spacing w:before="0" w:after="100"/>
      </w:pPr>
      <w:r>
        <w:rPr>
          <w:b w:val="0"/>
          <w:i w:val="0"/>
          <w:color w:val="333333"/>
          <w:sz w:val="22"/>
        </w:rPr>
        <w:t>Payroll changes (new joiner additions, salary revisions, and separation settlements) are being processed in the HRMS without mandatory dual authorisation. During our review of payroll changes for the period July–September 2025, we identified 14 instances where changes were initiated and approved by the same HR executive, without secondary sign-off from the Finance Manager or HR Head.</w:t>
      </w:r>
    </w:p>
    <w:p>
      <w:pPr>
        <w:spacing w:before="200" w:after="80"/>
      </w:pPr>
      <w:r>
        <w:rPr>
          <w:b/>
          <w:color w:val="2B7CB8"/>
          <w:sz w:val="26"/>
        </w:rPr>
        <w:t>RISK</w:t>
      </w:r>
    </w:p>
    <w:p>
      <w:pPr>
        <w:spacing w:before="0" w:after="100"/>
      </w:pPr>
      <w:r>
        <w:rPr>
          <w:b w:val="0"/>
          <w:i w:val="0"/>
          <w:color w:val="9A3412"/>
          <w:sz w:val="22"/>
        </w:rPr>
        <w:t>Absence of dual authorisation for payroll changes creates a significant risk of:</w:t>
      </w:r>
    </w:p>
    <w:p>
      <w:pPr>
        <w:pStyle w:val="ListBullet"/>
        <w:spacing w:after="60"/>
      </w:pPr>
      <w:r>
        <w:rPr>
          <w:b w:val="0"/>
          <w:sz w:val="22"/>
        </w:rPr>
        <w:t>Fraudulent additions of ghost employees to payroll</w:t>
      </w:r>
    </w:p>
    <w:p>
      <w:pPr>
        <w:pStyle w:val="ListBullet"/>
        <w:spacing w:after="60"/>
      </w:pPr>
      <w:r>
        <w:rPr>
          <w:b w:val="0"/>
          <w:sz w:val="22"/>
        </w:rPr>
        <w:t>Inflated salary revisions without management approval</w:t>
      </w:r>
    </w:p>
    <w:p>
      <w:pPr>
        <w:pStyle w:val="ListBullet"/>
        <w:spacing w:after="60"/>
      </w:pPr>
      <w:r>
        <w:rPr>
          <w:b w:val="0"/>
          <w:sz w:val="22"/>
        </w:rPr>
        <w:t>Incorrect separation payouts that are difficult to recover</w:t>
      </w:r>
    </w:p>
    <w:p>
      <w:pPr>
        <w:pStyle w:val="ListBullet"/>
        <w:spacing w:after="60"/>
      </w:pPr>
      <w:r>
        <w:rPr>
          <w:b w:val="0"/>
          <w:sz w:val="22"/>
        </w:rPr>
        <w:t>Regulatory exposure under labour laws for incorrect statutory computations</w:t>
      </w:r>
    </w:p>
    <w:p>
      <w:pPr>
        <w:spacing w:before="200" w:after="80"/>
      </w:pPr>
      <w:r>
        <w:rPr>
          <w:b/>
          <w:color w:val="2B7CB8"/>
          <w:sz w:val="26"/>
        </w:rPr>
        <w:t>IMPACT</w:t>
      </w:r>
    </w:p>
    <w:p>
      <w:pPr>
        <w:spacing w:before="0" w:after="100"/>
      </w:pPr>
      <w:r>
        <w:rPr>
          <w:b w:val="0"/>
          <w:i w:val="0"/>
          <w:color w:val="333333"/>
          <w:sz w:val="22"/>
        </w:rPr>
        <w:t>The 14 instances identified involved a combined payroll impact of Rs 8,40,000/- in the review quarter. If even one of these represents a fraudulent or erroneous transaction, the financial and reputational impact on IDP Limited could be material. Additionally, this control gap may be cited as a significant deficiency during the statutory audit.</w:t>
      </w:r>
    </w:p>
    <w:p>
      <w:pPr>
        <w:spacing w:before="200" w:after="80"/>
      </w:pPr>
      <w:r>
        <w:rPr>
          <w:b/>
          <w:color w:val="2B7CB8"/>
          <w:sz w:val="26"/>
        </w:rPr>
        <w:t>ROOT CAUSE</w:t>
      </w:r>
    </w:p>
    <w:p>
      <w:pPr>
        <w:spacing w:before="0" w:after="100"/>
      </w:pPr>
      <w:r>
        <w:rPr>
          <w:b w:val="0"/>
          <w:i w:val="0"/>
          <w:color w:val="333333"/>
          <w:sz w:val="22"/>
        </w:rPr>
        <w:t>The HRMS system does not enforce a mandatory second-level approval workflow for payroll changes. The system allows a single user with 'HR Admin' access to initiate and approve changes without system-level escalation. This was not flagged during the previous year's audit as the volume of changes was lower.</w:t>
      </w:r>
    </w:p>
    <w:p>
      <w:pPr>
        <w:spacing w:before="200" w:after="80"/>
      </w:pPr>
      <w:r>
        <w:rPr>
          <w:b/>
          <w:color w:val="2B7CB8"/>
          <w:sz w:val="26"/>
        </w:rPr>
        <w:t>RECOMMENDATION</w:t>
      </w:r>
    </w:p>
    <w:p>
      <w:pPr>
        <w:spacing w:before="0" w:after="100"/>
      </w:pPr>
      <w:r>
        <w:rPr>
          <w:b/>
          <w:i w:val="0"/>
          <w:color w:val="333333"/>
          <w:sz w:val="22"/>
        </w:rPr>
        <w:t>We recommend the following corrective actions:</w:t>
      </w:r>
    </w:p>
    <w:p>
      <w:pPr>
        <w:pStyle w:val="ListBullet"/>
        <w:spacing w:after="60"/>
      </w:pPr>
      <w:r>
        <w:rPr>
          <w:b w:val="0"/>
          <w:sz w:val="22"/>
        </w:rPr>
        <w:t>Immediate: Implement dual authorisation in HRMS — all payroll changes must be initiated by HR and approved by Finance Manager (for salary revisions) or HR Head (for additions/deletions)</w:t>
      </w:r>
    </w:p>
    <w:p>
      <w:pPr>
        <w:pStyle w:val="ListBullet"/>
        <w:spacing w:after="60"/>
      </w:pPr>
      <w:r>
        <w:rPr>
          <w:b w:val="0"/>
          <w:sz w:val="22"/>
        </w:rPr>
        <w:t>Short-term (30 days): Conduct a retrospective review of all 14 identified changes and obtain post-approval from the Finance Manager for legitimate transactions</w:t>
      </w:r>
    </w:p>
    <w:p>
      <w:pPr>
        <w:pStyle w:val="ListBullet"/>
        <w:spacing w:after="60"/>
      </w:pPr>
      <w:r>
        <w:rPr>
          <w:b w:val="0"/>
          <w:sz w:val="22"/>
        </w:rPr>
        <w:t>Medium-term (60 days): Set up a monthly payroll change report to be reviewed by CFO and cross-checked with HR records</w:t>
      </w:r>
    </w:p>
    <w:p>
      <w:pPr>
        <w:pStyle w:val="ListBullet"/>
        <w:spacing w:after="60"/>
      </w:pPr>
      <w:r>
        <w:rPr>
          <w:b w:val="0"/>
          <w:sz w:val="22"/>
        </w:rPr>
        <w:t>Long-term: Include payroll change authorisation as a key SOD (Segregation of Duties) control in the annual SOX/ICFR assessment</w:t>
      </w:r>
    </w:p>
    <w:p>
      <w:pPr>
        <w:spacing w:before="200" w:after="80"/>
      </w:pPr>
      <w:r>
        <w:rPr>
          <w:b/>
          <w:color w:val="2B7CB8"/>
          <w:sz w:val="26"/>
        </w:rPr>
        <w:t>MANAGEMENT RESPONSE</w:t>
      </w:r>
    </w:p>
    <w:tbl>
      <w:tblPr>
        <w:tblStyle w:val="TableGrid"/>
        <w:tblW w:type="auto" w:w="0"/>
        <w:tblLook w:firstColumn="1" w:firstRow="1" w:lastColumn="0" w:lastRow="0" w:noHBand="0" w:noVBand="1" w:val="04A0"/>
      </w:tblPr>
      <w:tblGrid>
        <w:gridCol w:w="9072"/>
      </w:tblGrid>
      <w:tr>
        <w:tc>
          <w:tcPr>
            <w:tcW w:type="dxa" w:w="9072"/>
            <w:shd w:fill="FFFBEB" w:val="clear"/>
          </w:tcPr>
          <w:p>
            <w:r/>
            <w:r>
              <w:rPr>
                <w:i/>
                <w:color w:val="1A3C5E"/>
                <w:sz w:val="20"/>
              </w:rPr>
              <w:t>[To be filled by Management]</w:t>
              <w:br/>
              <w:t>Agreed / Partially Agreed / Disagreed:</w:t>
              <w:br/>
              <w:t>Action Plan:</w:t>
              <w:br/>
              <w:t>Responsible Person:</w:t>
              <w:br/>
              <w:t>Target Date:</w:t>
            </w:r>
          </w:p>
        </w:tc>
      </w:tr>
    </w:tbl>
    <w:sectPr w:rsidR="00FC693F" w:rsidRPr="0006063C" w:rsidSect="00034616">
      <w:pgSz w:w="12240" w:h="15840"/>
      <w:pgMar w:top="1440" w:right="1584" w:bottom="144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